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2ABD3C" w14:textId="77777777" w:rsidR="00CB3E9A" w:rsidRDefault="003D57C8">
      <w:pPr>
        <w:pStyle w:val="p1"/>
        <w:rPr>
          <w:rStyle w:val="apple-converted-space"/>
          <w:rFonts w:ascii="UICTFontTextStyleTallBody" w:eastAsia="Times New Roman" w:hAnsi="UICTFontTextStyleTallBody"/>
          <w:sz w:val="29"/>
          <w:szCs w:val="29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1DEC1B5" wp14:editId="45FBDE96">
            <wp:simplePos x="0" y="0"/>
            <wp:positionH relativeFrom="column">
              <wp:posOffset>160335</wp:posOffset>
            </wp:positionH>
            <wp:positionV relativeFrom="paragraph">
              <wp:posOffset>422004</wp:posOffset>
            </wp:positionV>
            <wp:extent cx="3359463" cy="1889651"/>
            <wp:effectExtent l="0" t="0" r="0" b="3175"/>
            <wp:wrapTopAndBottom/>
            <wp:docPr id="19303648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036486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59463" cy="18896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310B">
        <w:rPr>
          <w:rFonts w:ascii="UICTFontTextStyleTallBody" w:eastAsia="Times New Roman" w:hAnsi="UICTFontTextStyleTallBody"/>
          <w:sz w:val="29"/>
          <w:szCs w:val="29"/>
        </w:rPr>
        <w:t>Kerry Lane</w:t>
      </w:r>
      <w:r w:rsidR="00ED7CA6"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2F265AB2" wp14:editId="6D7227F1">
                <wp:extent cx="306705" cy="306705"/>
                <wp:effectExtent l="0" t="0" r="0" b="0"/>
                <wp:docPr id="1186682485" name="Rectangl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6705" cy="306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6D8B1B0" id="Rectangle 2" o:spid="_x0000_s1026" style="width:24.15pt;height:2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" filled="f" stroked="f">
                <o:lock v:ext="edit" aspectratio="t"/>
                <w10:anchorlock/>
              </v:rect>
            </w:pict>
          </mc:Fallback>
        </mc:AlternateContent>
      </w:r>
      <w:r w:rsidR="00ED7CA6">
        <w:rPr>
          <w:rFonts w:ascii="UICTFontTextStyleTallBody" w:eastAsia="Times New Roman" w:hAnsi="UICTFontTextStyleTallBody"/>
          <w:sz w:val="29"/>
          <w:szCs w:val="29"/>
        </w:rPr>
        <w:br/>
      </w:r>
      <w:r w:rsidR="00ED7CA6" w:rsidRPr="00523024">
        <w:rPr>
          <w:rFonts w:ascii="UICTFontTextStyleTallBody" w:eastAsia="Times New Roman" w:hAnsi="UICTFontTextStyleTallBody"/>
          <w:sz w:val="24"/>
          <w:szCs w:val="24"/>
        </w:rPr>
        <w:br/>
      </w:r>
      <w:r w:rsidR="00ED7CA6" w:rsidRPr="00523024">
        <w:rPr>
          <w:rFonts w:eastAsia="Times New Roman"/>
          <w:noProof/>
          <w:sz w:val="24"/>
          <w:szCs w:val="24"/>
        </w:rPr>
        <mc:AlternateContent>
          <mc:Choice Requires="wps">
            <w:drawing>
              <wp:inline distT="0" distB="0" distL="0" distR="0" wp14:anchorId="4F733B1E" wp14:editId="12AFBD67">
                <wp:extent cx="306705" cy="306705"/>
                <wp:effectExtent l="0" t="0" r="0" b="0"/>
                <wp:docPr id="961442911" name="Rectangl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6705" cy="306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B6AAA58" id="Rectangle 1" o:spid="_x0000_s1026" style="width:24.15pt;height:2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" filled="f" stroked="f">
                <o:lock v:ext="edit" aspectratio="t"/>
                <w10:anchorlock/>
              </v:rect>
            </w:pict>
          </mc:Fallback>
        </mc:AlternateContent>
      </w:r>
      <w:r w:rsidR="00ED7CA6" w:rsidRPr="00523024">
        <w:rPr>
          <w:rFonts w:ascii="UICTFontTextStyleTallBody" w:eastAsia="Times New Roman" w:hAnsi="UICTFontTextStyleTallBody"/>
          <w:sz w:val="24"/>
          <w:szCs w:val="24"/>
        </w:rPr>
        <w:t xml:space="preserve">Don’t forget the 1.5m mandatory distance from pedestrians. I’ve been clipped twice this year </w:t>
      </w:r>
      <w:r w:rsidR="0021797B" w:rsidRPr="00523024">
        <w:rPr>
          <w:rFonts w:ascii="UICTFontTextStyleTallBody" w:eastAsia="Times New Roman" w:hAnsi="UICTFontTextStyleTallBody"/>
          <w:sz w:val="24"/>
          <w:szCs w:val="24"/>
        </w:rPr>
        <w:t>(wing</w:t>
      </w:r>
      <w:r w:rsidR="00ED7CA6" w:rsidRPr="00523024">
        <w:rPr>
          <w:rFonts w:ascii="UICTFontTextStyleTallBody" w:eastAsia="Times New Roman" w:hAnsi="UICTFontTextStyleTallBody"/>
          <w:sz w:val="24"/>
          <w:szCs w:val="24"/>
        </w:rPr>
        <w:t xml:space="preserve"> mirrors contacting my </w:t>
      </w:r>
      <w:r w:rsidR="0021797B" w:rsidRPr="00523024">
        <w:rPr>
          <w:rFonts w:ascii="UICTFontTextStyleTallBody" w:eastAsia="Times New Roman" w:hAnsi="UICTFontTextStyleTallBody"/>
          <w:sz w:val="24"/>
          <w:szCs w:val="24"/>
        </w:rPr>
        <w:t>hand)</w:t>
      </w:r>
      <w:r w:rsidR="00ED7CA6" w:rsidRPr="00523024">
        <w:rPr>
          <w:rFonts w:ascii="UICTFontTextStyleTallBody" w:eastAsia="Times New Roman" w:hAnsi="UICTFontTextStyleTallBody"/>
          <w:sz w:val="24"/>
          <w:szCs w:val="24"/>
        </w:rPr>
        <w:t xml:space="preserve"> because I didn’t give up my 1.5m.</w:t>
      </w:r>
      <w:r w:rsidR="00ED7CA6">
        <w:rPr>
          <w:rStyle w:val="apple-converted-space"/>
          <w:rFonts w:ascii="UICTFontTextStyleTallBody" w:eastAsia="Times New Roman" w:hAnsi="UICTFontTextStyleTallBody"/>
          <w:sz w:val="29"/>
          <w:szCs w:val="29"/>
        </w:rPr>
        <w:t> </w:t>
      </w:r>
    </w:p>
    <w:p w14:paraId="7E031CAF" w14:textId="65CF0CCB" w:rsidR="00431D2D" w:rsidRPr="00393626" w:rsidRDefault="00ED7CA6">
      <w:pPr>
        <w:pStyle w:val="p1"/>
        <w:rPr>
          <w:sz w:val="22"/>
          <w:szCs w:val="22"/>
        </w:rPr>
      </w:pPr>
      <w:r>
        <w:rPr>
          <w:rFonts w:ascii="UICTFontTextStyleTallBody" w:eastAsia="Times New Roman" w:hAnsi="UICTFontTextStyleTallBody"/>
          <w:sz w:val="29"/>
          <w:szCs w:val="29"/>
        </w:rPr>
        <w:br/>
      </w:r>
      <w:r w:rsidR="00EB5238" w:rsidRPr="00393626">
        <w:rPr>
          <w:rFonts w:ascii="UICTFontTextStyleTallBody" w:eastAsia="Times New Roman" w:hAnsi="UICTFontTextStyleTallBody"/>
          <w:sz w:val="22"/>
          <w:szCs w:val="22"/>
        </w:rPr>
        <w:t xml:space="preserve"> </w:t>
      </w:r>
      <w:r w:rsidR="00431D2D" w:rsidRPr="00393626">
        <w:rPr>
          <w:rStyle w:val="s1"/>
          <w:sz w:val="22"/>
          <w:szCs w:val="22"/>
        </w:rPr>
        <w:t>IMPACT ON LISTED BUILDINGS and CONSERVATION AREAS - developments that could</w:t>
      </w:r>
    </w:p>
    <w:p w14:paraId="58705BCF" w14:textId="77777777" w:rsidR="00431D2D" w:rsidRPr="00393626" w:rsidRDefault="00431D2D">
      <w:pPr>
        <w:pStyle w:val="p1"/>
        <w:rPr>
          <w:sz w:val="22"/>
          <w:szCs w:val="22"/>
        </w:rPr>
      </w:pPr>
      <w:r w:rsidRPr="00393626">
        <w:rPr>
          <w:rStyle w:val="s1"/>
          <w:sz w:val="22"/>
          <w:szCs w:val="22"/>
        </w:rPr>
        <w:t>aﬀ</w:t>
      </w:r>
      <w:proofErr w:type="spellStart"/>
      <w:r w:rsidRPr="00393626">
        <w:rPr>
          <w:rStyle w:val="s1"/>
          <w:sz w:val="22"/>
          <w:szCs w:val="22"/>
        </w:rPr>
        <w:t>ect</w:t>
      </w:r>
      <w:proofErr w:type="spellEnd"/>
      <w:r w:rsidRPr="00393626">
        <w:rPr>
          <w:rStyle w:val="s1"/>
          <w:sz w:val="22"/>
          <w:szCs w:val="22"/>
        </w:rPr>
        <w:t xml:space="preserve"> the character or setting of listed buildings or conservation areas are material</w:t>
      </w:r>
    </w:p>
    <w:p w14:paraId="697F062A" w14:textId="77777777" w:rsidR="00431D2D" w:rsidRPr="00393626" w:rsidRDefault="00431D2D">
      <w:pPr>
        <w:pStyle w:val="p1"/>
        <w:rPr>
          <w:sz w:val="22"/>
          <w:szCs w:val="22"/>
        </w:rPr>
      </w:pPr>
      <w:r w:rsidRPr="00393626">
        <w:rPr>
          <w:rStyle w:val="s1"/>
          <w:sz w:val="22"/>
          <w:szCs w:val="22"/>
        </w:rPr>
        <w:t>considerations</w:t>
      </w:r>
    </w:p>
    <w:p w14:paraId="491C5DA9" w14:textId="77777777" w:rsidR="00431D2D" w:rsidRPr="00393626" w:rsidRDefault="00431D2D">
      <w:pPr>
        <w:pStyle w:val="p1"/>
        <w:rPr>
          <w:sz w:val="22"/>
          <w:szCs w:val="22"/>
        </w:rPr>
      </w:pPr>
      <w:r w:rsidRPr="00393626">
        <w:rPr>
          <w:rStyle w:val="s1"/>
          <w:sz w:val="22"/>
          <w:szCs w:val="22"/>
        </w:rPr>
        <w:t>The development encompasses, in part, the conservation area of Eccleshall. In the Planning Act</w:t>
      </w:r>
    </w:p>
    <w:p w14:paraId="5FDA9316" w14:textId="12E8AE73" w:rsidR="00431D2D" w:rsidRPr="00393626" w:rsidRDefault="00431D2D">
      <w:pPr>
        <w:pStyle w:val="p1"/>
        <w:rPr>
          <w:sz w:val="22"/>
          <w:szCs w:val="22"/>
        </w:rPr>
      </w:pPr>
      <w:r w:rsidRPr="00393626">
        <w:rPr>
          <w:rStyle w:val="s1"/>
          <w:sz w:val="22"/>
          <w:szCs w:val="22"/>
        </w:rPr>
        <w:t>1990, Section 69 (1) of the Act it imposes a duty on the local planning authority to identify areas of</w:t>
      </w:r>
      <w:r w:rsidR="00E6518F">
        <w:rPr>
          <w:sz w:val="22"/>
          <w:szCs w:val="22"/>
        </w:rPr>
        <w:t xml:space="preserve"> </w:t>
      </w:r>
      <w:r w:rsidRPr="00393626">
        <w:rPr>
          <w:rStyle w:val="s1"/>
          <w:sz w:val="22"/>
          <w:szCs w:val="22"/>
        </w:rPr>
        <w:t>special architectural or historic interest and to designate those places as conservation areas.</w:t>
      </w:r>
    </w:p>
    <w:p w14:paraId="5F498FAD" w14:textId="77777777" w:rsidR="00431D2D" w:rsidRPr="00393626" w:rsidRDefault="00431D2D">
      <w:pPr>
        <w:pStyle w:val="p1"/>
        <w:rPr>
          <w:sz w:val="22"/>
          <w:szCs w:val="22"/>
        </w:rPr>
      </w:pPr>
      <w:r w:rsidRPr="00393626">
        <w:rPr>
          <w:rStyle w:val="s1"/>
          <w:sz w:val="22"/>
          <w:szCs w:val="22"/>
        </w:rPr>
        <w:t>Designation helps to ensure that an area identified is protected appropriately. Eccleshall</w:t>
      </w:r>
    </w:p>
    <w:p w14:paraId="48F72AB3" w14:textId="1196FD8A" w:rsidR="00431D2D" w:rsidRPr="00393626" w:rsidRDefault="00431D2D">
      <w:pPr>
        <w:pStyle w:val="p1"/>
        <w:rPr>
          <w:sz w:val="22"/>
          <w:szCs w:val="22"/>
        </w:rPr>
      </w:pPr>
      <w:r w:rsidRPr="00393626">
        <w:rPr>
          <w:rStyle w:val="s1"/>
          <w:sz w:val="22"/>
          <w:szCs w:val="22"/>
        </w:rPr>
        <w:t>Conservation Area Appraisal 2014 (</w:t>
      </w:r>
      <w:proofErr w:type="spellStart"/>
      <w:r w:rsidRPr="00393626">
        <w:rPr>
          <w:rStyle w:val="s1"/>
          <w:sz w:val="22"/>
          <w:szCs w:val="22"/>
        </w:rPr>
        <w:t>Sta</w:t>
      </w:r>
      <w:proofErr w:type="spellEnd"/>
      <w:r w:rsidRPr="00393626">
        <w:rPr>
          <w:rStyle w:val="s1"/>
          <w:sz w:val="22"/>
          <w:szCs w:val="22"/>
        </w:rPr>
        <w:t>ﬀord Borough Council) was undertaken in order to define</w:t>
      </w:r>
      <w:r w:rsidR="00E6518F">
        <w:rPr>
          <w:sz w:val="22"/>
          <w:szCs w:val="22"/>
        </w:rPr>
        <w:t xml:space="preserve"> </w:t>
      </w:r>
      <w:r w:rsidRPr="00393626">
        <w:rPr>
          <w:rStyle w:val="s1"/>
          <w:sz w:val="22"/>
          <w:szCs w:val="22"/>
        </w:rPr>
        <w:t>the special character and appearance of Eccleshall and to identify any threats or future threats to</w:t>
      </w:r>
      <w:r w:rsidR="00E6518F">
        <w:rPr>
          <w:sz w:val="22"/>
          <w:szCs w:val="22"/>
        </w:rPr>
        <w:t xml:space="preserve"> </w:t>
      </w:r>
      <w:r w:rsidRPr="00393626">
        <w:rPr>
          <w:rStyle w:val="s1"/>
          <w:sz w:val="22"/>
          <w:szCs w:val="22"/>
        </w:rPr>
        <w:t>its character and integrity. The appraisal discusses the fact that the shoe making cottage industry</w:t>
      </w:r>
      <w:r w:rsidR="00E6518F">
        <w:rPr>
          <w:sz w:val="22"/>
          <w:szCs w:val="22"/>
        </w:rPr>
        <w:t xml:space="preserve"> </w:t>
      </w:r>
      <w:r w:rsidRPr="00393626">
        <w:rPr>
          <w:rStyle w:val="s1"/>
          <w:sz w:val="22"/>
          <w:szCs w:val="22"/>
        </w:rPr>
        <w:t>and associated trades developed around Kerry Lane. It also mentions that Kerry Lane possesses</w:t>
      </w:r>
      <w:r w:rsidR="00CD681A">
        <w:rPr>
          <w:sz w:val="22"/>
          <w:szCs w:val="22"/>
        </w:rPr>
        <w:t xml:space="preserve"> </w:t>
      </w:r>
      <w:r w:rsidRPr="00393626">
        <w:rPr>
          <w:rStyle w:val="s1"/>
          <w:sz w:val="22"/>
          <w:szCs w:val="22"/>
        </w:rPr>
        <w:t>the character of a village, with smaller scale buildings. There is a certain threat to Kerry Lane</w:t>
      </w:r>
      <w:r w:rsidR="00CD681A">
        <w:rPr>
          <w:sz w:val="22"/>
          <w:szCs w:val="22"/>
        </w:rPr>
        <w:t xml:space="preserve"> </w:t>
      </w:r>
      <w:r w:rsidRPr="00393626">
        <w:rPr>
          <w:rStyle w:val="s1"/>
          <w:sz w:val="22"/>
          <w:szCs w:val="22"/>
        </w:rPr>
        <w:t>retaining “it’s special character and integrity” with the certainty of increased traﬃc using this</w:t>
      </w:r>
      <w:r w:rsidR="00CD681A">
        <w:rPr>
          <w:sz w:val="22"/>
          <w:szCs w:val="22"/>
        </w:rPr>
        <w:t xml:space="preserve"> </w:t>
      </w:r>
      <w:r w:rsidRPr="00393626">
        <w:rPr>
          <w:rStyle w:val="s1"/>
          <w:sz w:val="22"/>
          <w:szCs w:val="22"/>
        </w:rPr>
        <w:t>“narrow lane” as referenced in the appraisal. A modern housing estate will clearly detract from this</w:t>
      </w:r>
      <w:r w:rsidR="00CD681A">
        <w:rPr>
          <w:sz w:val="22"/>
          <w:szCs w:val="22"/>
        </w:rPr>
        <w:t xml:space="preserve"> </w:t>
      </w:r>
      <w:r w:rsidRPr="00393626">
        <w:rPr>
          <w:rStyle w:val="s1"/>
          <w:sz w:val="22"/>
          <w:szCs w:val="22"/>
        </w:rPr>
        <w:t>nationally important amenity.</w:t>
      </w:r>
    </w:p>
    <w:p w14:paraId="4D2DEABF" w14:textId="77777777" w:rsidR="00431D2D" w:rsidRPr="00393626" w:rsidRDefault="00431D2D">
      <w:pPr>
        <w:pStyle w:val="p1"/>
        <w:rPr>
          <w:sz w:val="22"/>
          <w:szCs w:val="22"/>
        </w:rPr>
      </w:pPr>
      <w:r w:rsidRPr="00393626">
        <w:rPr>
          <w:rStyle w:val="s1"/>
          <w:sz w:val="22"/>
          <w:szCs w:val="22"/>
        </w:rPr>
        <w:t>LANDSCAPE SENSITIVITY STUDY</w:t>
      </w:r>
    </w:p>
    <w:p w14:paraId="4C215EA5" w14:textId="7D10B115" w:rsidR="00431D2D" w:rsidRPr="00393626" w:rsidRDefault="00431D2D">
      <w:pPr>
        <w:pStyle w:val="p1"/>
        <w:rPr>
          <w:sz w:val="22"/>
          <w:szCs w:val="22"/>
        </w:rPr>
      </w:pPr>
      <w:r w:rsidRPr="00393626">
        <w:rPr>
          <w:rStyle w:val="s1"/>
          <w:sz w:val="22"/>
          <w:szCs w:val="22"/>
        </w:rPr>
        <w:t>Only 7 out of 140 have been assessed as sites of High sensitivity. In 2021 SBC commissioned</w:t>
      </w:r>
      <w:r w:rsidR="00277E00">
        <w:rPr>
          <w:sz w:val="22"/>
          <w:szCs w:val="22"/>
        </w:rPr>
        <w:t xml:space="preserve"> </w:t>
      </w:r>
      <w:r w:rsidRPr="00393626">
        <w:rPr>
          <w:rStyle w:val="s1"/>
          <w:sz w:val="22"/>
          <w:szCs w:val="22"/>
        </w:rPr>
        <w:t xml:space="preserve">AOC Archeology Group to undertake an Historic Environment Site Assessment (HESA) </w:t>
      </w:r>
      <w:r w:rsidR="00277E00">
        <w:rPr>
          <w:sz w:val="22"/>
          <w:szCs w:val="22"/>
        </w:rPr>
        <w:t xml:space="preserve"> </w:t>
      </w:r>
      <w:r w:rsidRPr="00393626">
        <w:rPr>
          <w:rStyle w:val="s1"/>
          <w:sz w:val="22"/>
          <w:szCs w:val="22"/>
        </w:rPr>
        <w:t>to form a key piece of the evidence base used to ensure that the impact on the historic</w:t>
      </w:r>
      <w:r w:rsidR="00277E00">
        <w:rPr>
          <w:sz w:val="22"/>
          <w:szCs w:val="22"/>
        </w:rPr>
        <w:t xml:space="preserve"> </w:t>
      </w:r>
      <w:r w:rsidRPr="00393626">
        <w:rPr>
          <w:rStyle w:val="s1"/>
          <w:sz w:val="22"/>
          <w:szCs w:val="22"/>
        </w:rPr>
        <w:t>environment has been properly considered in the site selection process.</w:t>
      </w:r>
    </w:p>
    <w:p w14:paraId="1744736F" w14:textId="65DACEF5" w:rsidR="00431D2D" w:rsidRPr="00393626" w:rsidRDefault="00431D2D">
      <w:pPr>
        <w:pStyle w:val="p1"/>
        <w:rPr>
          <w:sz w:val="22"/>
          <w:szCs w:val="22"/>
        </w:rPr>
      </w:pPr>
      <w:r w:rsidRPr="00393626">
        <w:rPr>
          <w:rStyle w:val="s1"/>
          <w:sz w:val="22"/>
          <w:szCs w:val="22"/>
        </w:rPr>
        <w:t>It states that for those recorded as HIGH - “significant eﬀ</w:t>
      </w:r>
      <w:proofErr w:type="spellStart"/>
      <w:r w:rsidRPr="00393626">
        <w:rPr>
          <w:rStyle w:val="s1"/>
          <w:sz w:val="22"/>
          <w:szCs w:val="22"/>
        </w:rPr>
        <w:t>ects</w:t>
      </w:r>
      <w:proofErr w:type="spellEnd"/>
      <w:r w:rsidRPr="00393626">
        <w:rPr>
          <w:rStyle w:val="s1"/>
          <w:sz w:val="22"/>
          <w:szCs w:val="22"/>
        </w:rPr>
        <w:t xml:space="preserve"> predicted. Mitigation unlikely to be</w:t>
      </w:r>
      <w:r w:rsidR="00677DEC">
        <w:rPr>
          <w:sz w:val="22"/>
          <w:szCs w:val="22"/>
        </w:rPr>
        <w:t xml:space="preserve"> </w:t>
      </w:r>
      <w:r w:rsidRPr="00393626">
        <w:rPr>
          <w:rStyle w:val="s1"/>
          <w:sz w:val="22"/>
          <w:szCs w:val="22"/>
        </w:rPr>
        <w:t>possible”.</w:t>
      </w:r>
    </w:p>
    <w:p w14:paraId="380D20D9" w14:textId="77777777" w:rsidR="00431D2D" w:rsidRPr="00393626" w:rsidRDefault="00431D2D">
      <w:pPr>
        <w:pStyle w:val="p1"/>
        <w:rPr>
          <w:sz w:val="22"/>
          <w:szCs w:val="22"/>
        </w:rPr>
      </w:pPr>
      <w:r w:rsidRPr="00393626">
        <w:rPr>
          <w:rStyle w:val="s1"/>
          <w:sz w:val="22"/>
          <w:szCs w:val="22"/>
        </w:rPr>
        <w:t>The NPPF (2019). Chapter 16 is concerned with “conserving and enhancing the historic</w:t>
      </w:r>
    </w:p>
    <w:p w14:paraId="6AB1EF29" w14:textId="35A3E87D" w:rsidR="00431D2D" w:rsidRPr="00393626" w:rsidRDefault="00431D2D">
      <w:pPr>
        <w:pStyle w:val="p1"/>
        <w:rPr>
          <w:sz w:val="22"/>
          <w:szCs w:val="22"/>
        </w:rPr>
      </w:pPr>
      <w:r w:rsidRPr="00393626">
        <w:rPr>
          <w:rStyle w:val="s1"/>
          <w:sz w:val="22"/>
          <w:szCs w:val="22"/>
        </w:rPr>
        <w:t>environment”. It identifies heritage asse</w:t>
      </w:r>
      <w:r w:rsidR="00FD14F5">
        <w:rPr>
          <w:rStyle w:val="s1"/>
          <w:sz w:val="22"/>
          <w:szCs w:val="22"/>
        </w:rPr>
        <w:t>ts</w:t>
      </w:r>
      <w:r w:rsidRPr="00393626">
        <w:rPr>
          <w:rStyle w:val="s1"/>
          <w:sz w:val="22"/>
          <w:szCs w:val="22"/>
        </w:rPr>
        <w:t xml:space="preserve"> as an irreplaceable resource and notes that they</w:t>
      </w:r>
    </w:p>
    <w:p w14:paraId="4730D8ED" w14:textId="77777777" w:rsidR="00431D2D" w:rsidRPr="00393626" w:rsidRDefault="00431D2D">
      <w:pPr>
        <w:pStyle w:val="p1"/>
        <w:rPr>
          <w:sz w:val="22"/>
          <w:szCs w:val="22"/>
        </w:rPr>
      </w:pPr>
      <w:r w:rsidRPr="00393626">
        <w:rPr>
          <w:rStyle w:val="s1"/>
          <w:sz w:val="22"/>
          <w:szCs w:val="22"/>
        </w:rPr>
        <w:t>should be conserved in a manner appropriate to their significance.</w:t>
      </w:r>
    </w:p>
    <w:p w14:paraId="35E77840" w14:textId="1ACF8FFA" w:rsidR="00431D2D" w:rsidRPr="00E71448" w:rsidRDefault="00431D2D">
      <w:pPr>
        <w:pStyle w:val="p1"/>
        <w:rPr>
          <w:sz w:val="22"/>
          <w:szCs w:val="22"/>
        </w:rPr>
      </w:pPr>
      <w:r w:rsidRPr="00393626">
        <w:rPr>
          <w:rStyle w:val="s1"/>
          <w:sz w:val="22"/>
          <w:szCs w:val="22"/>
        </w:rPr>
        <w:t>The boundary of Eccleshall Conservation Area extends across the northern half of the site, whilst</w:t>
      </w:r>
      <w:r w:rsidR="00D745AE">
        <w:rPr>
          <w:sz w:val="22"/>
          <w:szCs w:val="22"/>
        </w:rPr>
        <w:t xml:space="preserve"> </w:t>
      </w:r>
      <w:r w:rsidRPr="00393626">
        <w:rPr>
          <w:rStyle w:val="s1"/>
          <w:sz w:val="22"/>
          <w:szCs w:val="22"/>
        </w:rPr>
        <w:t>a range of listed buildings, including Grade 1 listed Holy Trinity Church, lie within 105m of the site</w:t>
      </w:r>
      <w:r w:rsidR="00D745AE">
        <w:rPr>
          <w:sz w:val="22"/>
          <w:szCs w:val="22"/>
        </w:rPr>
        <w:t xml:space="preserve"> </w:t>
      </w:r>
      <w:r w:rsidRPr="00393626">
        <w:rPr>
          <w:rStyle w:val="s1"/>
          <w:sz w:val="22"/>
          <w:szCs w:val="22"/>
        </w:rPr>
        <w:t>boundary. There is particular mention of the</w:t>
      </w:r>
      <w:r w:rsidR="00307BC8">
        <w:rPr>
          <w:sz w:val="22"/>
          <w:szCs w:val="22"/>
        </w:rPr>
        <w:t xml:space="preserve"> </w:t>
      </w:r>
      <w:r w:rsidRPr="00393626">
        <w:rPr>
          <w:rStyle w:val="s1"/>
          <w:sz w:val="22"/>
          <w:szCs w:val="22"/>
        </w:rPr>
        <w:t xml:space="preserve">Grade </w:t>
      </w:r>
      <w:proofErr w:type="spellStart"/>
      <w:r w:rsidRPr="00393626">
        <w:rPr>
          <w:rStyle w:val="s1"/>
          <w:sz w:val="22"/>
          <w:szCs w:val="22"/>
        </w:rPr>
        <w:t>ll</w:t>
      </w:r>
      <w:proofErr w:type="spellEnd"/>
      <w:r w:rsidRPr="00393626">
        <w:rPr>
          <w:rStyle w:val="s1"/>
          <w:sz w:val="22"/>
          <w:szCs w:val="22"/>
        </w:rPr>
        <w:t xml:space="preserve"> listed Thatched Cottage which stands 34m north of the southwestern site boundary and</w:t>
      </w:r>
      <w:r w:rsidR="00E71448">
        <w:rPr>
          <w:sz w:val="22"/>
          <w:szCs w:val="22"/>
        </w:rPr>
        <w:t xml:space="preserve"> </w:t>
      </w:r>
      <w:r w:rsidRPr="00393626">
        <w:rPr>
          <w:rStyle w:val="s1"/>
          <w:sz w:val="22"/>
          <w:szCs w:val="22"/>
        </w:rPr>
        <w:t xml:space="preserve">states that care would need to be taken to protect its setting. The Thatched Cottage is </w:t>
      </w:r>
    </w:p>
    <w:p w14:paraId="36FB0B43" w14:textId="0BFD0B1E" w:rsidR="00ED7CA6" w:rsidRPr="0032692B" w:rsidRDefault="00ED7CA6">
      <w:pPr>
        <w:rPr>
          <w:rFonts w:ascii="UICTFontTextStyleTallBody" w:eastAsia="Times New Roman" w:hAnsi="UICTFontTextStyleTallBody"/>
          <w:color w:val="000000"/>
          <w:sz w:val="29"/>
          <w:szCs w:val="29"/>
        </w:rPr>
      </w:pPr>
    </w:p>
    <w:sectPr w:rsidR="00ED7CA6" w:rsidRPr="0032692B" w:rsidSect="00D02D0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230640" w14:textId="77777777" w:rsidR="0032692B" w:rsidRDefault="0032692B" w:rsidP="0032692B">
      <w:pPr>
        <w:spacing w:after="0" w:line="240" w:lineRule="auto"/>
      </w:pPr>
      <w:r>
        <w:separator/>
      </w:r>
    </w:p>
  </w:endnote>
  <w:endnote w:type="continuationSeparator" w:id="0">
    <w:p w14:paraId="49F16DC2" w14:textId="77777777" w:rsidR="0032692B" w:rsidRDefault="0032692B" w:rsidP="003269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UICTFontTextStyleTallBody">
    <w:altName w:val="Cambria"/>
    <w:panose1 w:val="020B0604020202020204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F1D82C" w14:textId="77777777" w:rsidR="0032692B" w:rsidRDefault="0032692B" w:rsidP="0032692B">
      <w:pPr>
        <w:spacing w:after="0" w:line="240" w:lineRule="auto"/>
      </w:pPr>
      <w:r>
        <w:separator/>
      </w:r>
    </w:p>
  </w:footnote>
  <w:footnote w:type="continuationSeparator" w:id="0">
    <w:p w14:paraId="2D865BC4" w14:textId="77777777" w:rsidR="0032692B" w:rsidRDefault="0032692B" w:rsidP="0032692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9"/>
  <w:proofState w:spelling="clean"/>
  <w:revisionView w:formatting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CA6"/>
    <w:rsid w:val="00073CF1"/>
    <w:rsid w:val="00193082"/>
    <w:rsid w:val="0021310B"/>
    <w:rsid w:val="0021797B"/>
    <w:rsid w:val="00245E61"/>
    <w:rsid w:val="00277E00"/>
    <w:rsid w:val="00307BC8"/>
    <w:rsid w:val="0032692B"/>
    <w:rsid w:val="00393626"/>
    <w:rsid w:val="003A430A"/>
    <w:rsid w:val="003D57C8"/>
    <w:rsid w:val="003D7CA0"/>
    <w:rsid w:val="00431D2D"/>
    <w:rsid w:val="004606ED"/>
    <w:rsid w:val="00523024"/>
    <w:rsid w:val="005C4E6F"/>
    <w:rsid w:val="006176C8"/>
    <w:rsid w:val="00677DEC"/>
    <w:rsid w:val="007A5C82"/>
    <w:rsid w:val="008B263C"/>
    <w:rsid w:val="00CB3E9A"/>
    <w:rsid w:val="00CD681A"/>
    <w:rsid w:val="00D02D04"/>
    <w:rsid w:val="00D66CAE"/>
    <w:rsid w:val="00D745AE"/>
    <w:rsid w:val="00E6518F"/>
    <w:rsid w:val="00E71448"/>
    <w:rsid w:val="00EB5238"/>
    <w:rsid w:val="00ED7CA6"/>
    <w:rsid w:val="00EF64BF"/>
    <w:rsid w:val="00FD14F5"/>
    <w:rsid w:val="00FF0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6BAC84"/>
  <w15:chartTrackingRefBased/>
  <w15:docId w15:val="{31C027F0-8129-F146-BE0D-4EBB585C6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D7C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7C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7C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7C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7C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7C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7C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7C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7C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7C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7C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7C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7C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7C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7C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7C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7C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7C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7C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D7C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7C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D7C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7C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D7C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7C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7C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7C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7C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7CA6"/>
    <w:rPr>
      <w:b/>
      <w:bCs/>
      <w:smallCaps/>
      <w:color w:val="0F4761" w:themeColor="accent1" w:themeShade="BF"/>
      <w:spacing w:val="5"/>
    </w:rPr>
  </w:style>
  <w:style w:type="character" w:customStyle="1" w:styleId="apple-converted-space">
    <w:name w:val="apple-converted-space"/>
    <w:basedOn w:val="DefaultParagraphFont"/>
    <w:rsid w:val="00ED7CA6"/>
  </w:style>
  <w:style w:type="paragraph" w:styleId="EndnoteText">
    <w:name w:val="endnote text"/>
    <w:basedOn w:val="Normal"/>
    <w:link w:val="EndnoteTextChar"/>
    <w:uiPriority w:val="99"/>
    <w:semiHidden/>
    <w:unhideWhenUsed/>
    <w:rsid w:val="0032692B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2692B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32692B"/>
    <w:rPr>
      <w:vertAlign w:val="superscript"/>
    </w:rPr>
  </w:style>
  <w:style w:type="paragraph" w:customStyle="1" w:styleId="p1">
    <w:name w:val="p1"/>
    <w:basedOn w:val="Normal"/>
    <w:rsid w:val="00431D2D"/>
    <w:pPr>
      <w:spacing w:after="0" w:line="240" w:lineRule="auto"/>
    </w:pPr>
    <w:rPr>
      <w:rFonts w:ascii="Helvetica Neue" w:hAnsi="Helvetica Neue" w:cs="Times New Roman"/>
      <w:color w:val="000000"/>
      <w:kern w:val="0"/>
      <w:sz w:val="17"/>
      <w:szCs w:val="17"/>
      <w14:ligatures w14:val="none"/>
    </w:rPr>
  </w:style>
  <w:style w:type="character" w:customStyle="1" w:styleId="s1">
    <w:name w:val="s1"/>
    <w:basedOn w:val="DefaultParagraphFont"/>
    <w:rsid w:val="00431D2D"/>
    <w:rPr>
      <w:rFonts w:ascii="Helvetica Neue" w:hAnsi="Helvetica Neue" w:hint="default"/>
      <w:b w:val="0"/>
      <w:bCs w:val="0"/>
      <w:i w:val="0"/>
      <w:iCs w:val="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388</Words>
  <Characters>2216</Characters>
  <Application>Microsoft Office Word</Application>
  <DocSecurity>0</DocSecurity>
  <Lines>18</Lines>
  <Paragraphs>5</Paragraphs>
  <ScaleCrop>false</ScaleCrop>
  <Company/>
  <LinksUpToDate>false</LinksUpToDate>
  <CharactersWithSpaces>2599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Wilkins</dc:creator>
  <cp:keywords/>
  <dc:description/>
  <cp:lastModifiedBy>Chris Wilkins</cp:lastModifiedBy>
  <cp:revision>2</cp:revision>
  <dcterms:created xsi:type="dcterms:W3CDTF">2025-09-10T19:48:00Z</dcterms:created>
  <dcterms:modified xsi:type="dcterms:W3CDTF">2025-09-10T19:48:00Z</dcterms:modified>
</cp:coreProperties>
</file>