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2ABD3C" w14:textId="77777777" w:rsidR="00CB3E9A" w:rsidRDefault="003D57C8">
      <w:pPr>
        <w:pStyle w:val="p1"/>
        <w:rPr>
          <w:rStyle w:val="apple-converted-space"/>
          <w:rFonts w:ascii="UICTFontTextStyleTallBody" w:eastAsia="Times New Roman" w:hAnsi="UICTFontTextStyleTallBody"/>
          <w:sz w:val="29"/>
          <w:szCs w:val="29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1DEC1B5" wp14:editId="45FBDE96">
            <wp:simplePos x="0" y="0"/>
            <wp:positionH relativeFrom="column">
              <wp:posOffset>160335</wp:posOffset>
            </wp:positionH>
            <wp:positionV relativeFrom="paragraph">
              <wp:posOffset>422004</wp:posOffset>
            </wp:positionV>
            <wp:extent cx="3359463" cy="1889651"/>
            <wp:effectExtent l="0" t="0" r="0" b="3175"/>
            <wp:wrapTopAndBottom/>
            <wp:docPr id="19303648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36486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59463" cy="18896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310B">
        <w:rPr>
          <w:rFonts w:ascii="UICTFontTextStyleTallBody" w:eastAsia="Times New Roman" w:hAnsi="UICTFontTextStyleTallBody"/>
          <w:sz w:val="29"/>
          <w:szCs w:val="29"/>
        </w:rPr>
        <w:t>Kerry Lane</w:t>
      </w:r>
      <w:r w:rsidR="00ED7CA6"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F265AB2" wp14:editId="6D7227F1">
                <wp:extent cx="306705" cy="306705"/>
                <wp:effectExtent l="0" t="0" r="0" b="0"/>
                <wp:docPr id="1186682485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D8B1B0" id="Rectangle 2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" filled="f" stroked="f">
                <o:lock v:ext="edit" aspectratio="t"/>
                <w10:anchorlock/>
              </v:rect>
            </w:pict>
          </mc:Fallback>
        </mc:AlternateContent>
      </w:r>
      <w:r w:rsidR="00ED7CA6">
        <w:rPr>
          <w:rFonts w:ascii="UICTFontTextStyleTallBody" w:eastAsia="Times New Roman" w:hAnsi="UICTFontTextStyleTallBody"/>
          <w:sz w:val="29"/>
          <w:szCs w:val="29"/>
        </w:rPr>
        <w:br/>
      </w:r>
      <w:r w:rsidR="00ED7CA6" w:rsidRPr="00523024">
        <w:rPr>
          <w:rFonts w:ascii="UICTFontTextStyleTallBody" w:eastAsia="Times New Roman" w:hAnsi="UICTFontTextStyleTallBody"/>
          <w:sz w:val="24"/>
          <w:szCs w:val="24"/>
        </w:rPr>
        <w:br/>
      </w:r>
      <w:r w:rsidR="00ED7CA6" w:rsidRPr="00523024">
        <w:rPr>
          <w:rFonts w:eastAsia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4F733B1E" wp14:editId="12AFBD67">
                <wp:extent cx="306705" cy="306705"/>
                <wp:effectExtent l="0" t="0" r="0" b="0"/>
                <wp:docPr id="961442911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6AAA58" id="Rectangle 1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" filled="f" stroked="f">
                <o:lock v:ext="edit" aspectratio="t"/>
                <w10:anchorlock/>
              </v:rect>
            </w:pict>
          </mc:Fallback>
        </mc:AlternateContent>
      </w:r>
      <w:r w:rsidR="00ED7CA6" w:rsidRPr="00523024">
        <w:rPr>
          <w:rFonts w:ascii="UICTFontTextStyleTallBody" w:eastAsia="Times New Roman" w:hAnsi="UICTFontTextStyleTallBody"/>
          <w:sz w:val="24"/>
          <w:szCs w:val="24"/>
        </w:rPr>
        <w:t xml:space="preserve">Don’t forget the 1.5m mandatory distance from pedestrians. I’ve been clipped twice this year </w:t>
      </w:r>
      <w:r w:rsidR="0021797B" w:rsidRPr="00523024">
        <w:rPr>
          <w:rFonts w:ascii="UICTFontTextStyleTallBody" w:eastAsia="Times New Roman" w:hAnsi="UICTFontTextStyleTallBody"/>
          <w:sz w:val="24"/>
          <w:szCs w:val="24"/>
        </w:rPr>
        <w:t>(wing</w:t>
      </w:r>
      <w:r w:rsidR="00ED7CA6" w:rsidRPr="00523024">
        <w:rPr>
          <w:rFonts w:ascii="UICTFontTextStyleTallBody" w:eastAsia="Times New Roman" w:hAnsi="UICTFontTextStyleTallBody"/>
          <w:sz w:val="24"/>
          <w:szCs w:val="24"/>
        </w:rPr>
        <w:t xml:space="preserve"> mirrors contacting my </w:t>
      </w:r>
      <w:r w:rsidR="0021797B" w:rsidRPr="00523024">
        <w:rPr>
          <w:rFonts w:ascii="UICTFontTextStyleTallBody" w:eastAsia="Times New Roman" w:hAnsi="UICTFontTextStyleTallBody"/>
          <w:sz w:val="24"/>
          <w:szCs w:val="24"/>
        </w:rPr>
        <w:t>hand)</w:t>
      </w:r>
      <w:r w:rsidR="00ED7CA6" w:rsidRPr="00523024">
        <w:rPr>
          <w:rFonts w:ascii="UICTFontTextStyleTallBody" w:eastAsia="Times New Roman" w:hAnsi="UICTFontTextStyleTallBody"/>
          <w:sz w:val="24"/>
          <w:szCs w:val="24"/>
        </w:rPr>
        <w:t xml:space="preserve"> because I didn’t give up my 1.5m.</w:t>
      </w:r>
      <w:r w:rsidR="00ED7CA6">
        <w:rPr>
          <w:rStyle w:val="apple-converted-space"/>
          <w:rFonts w:ascii="UICTFontTextStyleTallBody" w:eastAsia="Times New Roman" w:hAnsi="UICTFontTextStyleTallBody"/>
          <w:sz w:val="29"/>
          <w:szCs w:val="29"/>
        </w:rPr>
        <w:t> </w:t>
      </w:r>
    </w:p>
    <w:p w14:paraId="7E031CAF" w14:textId="65CF0CCB" w:rsidR="00431D2D" w:rsidRPr="00393626" w:rsidRDefault="00ED7CA6">
      <w:pPr>
        <w:pStyle w:val="p1"/>
        <w:rPr>
          <w:sz w:val="22"/>
          <w:szCs w:val="22"/>
        </w:rPr>
      </w:pPr>
      <w:r>
        <w:rPr>
          <w:rFonts w:ascii="UICTFontTextStyleTallBody" w:eastAsia="Times New Roman" w:hAnsi="UICTFontTextStyleTallBody"/>
          <w:sz w:val="29"/>
          <w:szCs w:val="29"/>
        </w:rPr>
        <w:br/>
      </w:r>
      <w:r w:rsidR="00EB5238" w:rsidRPr="00393626">
        <w:rPr>
          <w:rFonts w:ascii="UICTFontTextStyleTallBody" w:eastAsia="Times New Roman" w:hAnsi="UICTFontTextStyleTallBody"/>
          <w:sz w:val="22"/>
          <w:szCs w:val="22"/>
        </w:rPr>
        <w:t xml:space="preserve"> </w:t>
      </w:r>
      <w:r w:rsidR="00431D2D" w:rsidRPr="00393626">
        <w:rPr>
          <w:rStyle w:val="s1"/>
          <w:sz w:val="22"/>
          <w:szCs w:val="22"/>
        </w:rPr>
        <w:t>IMPACT ON LISTED BUILDINGS and CONSERVATION AREAS - developments that could</w:t>
      </w:r>
    </w:p>
    <w:p w14:paraId="58705BCF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aﬀ</w:t>
      </w:r>
      <w:proofErr w:type="spellStart"/>
      <w:r w:rsidRPr="00393626">
        <w:rPr>
          <w:rStyle w:val="s1"/>
          <w:sz w:val="22"/>
          <w:szCs w:val="22"/>
        </w:rPr>
        <w:t>ect</w:t>
      </w:r>
      <w:proofErr w:type="spellEnd"/>
      <w:r w:rsidRPr="00393626">
        <w:rPr>
          <w:rStyle w:val="s1"/>
          <w:sz w:val="22"/>
          <w:szCs w:val="22"/>
        </w:rPr>
        <w:t xml:space="preserve"> the character or setting of listed buildings or conservation areas are material</w:t>
      </w:r>
    </w:p>
    <w:p w14:paraId="697F062A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considerations</w:t>
      </w:r>
    </w:p>
    <w:p w14:paraId="491C5DA9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The development encompasses, in part, the conservation area of Eccleshall. In the Planning Act</w:t>
      </w:r>
    </w:p>
    <w:p w14:paraId="5FDA9316" w14:textId="12E8AE73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1990, Section 69 (1) of the Act it imposes a duty on the local planning authority to identify areas of</w:t>
      </w:r>
      <w:r w:rsidR="00E6518F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special architectural or historic interest and to designate those places as conservation areas.</w:t>
      </w:r>
    </w:p>
    <w:p w14:paraId="5F498FAD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Designation helps to ensure that an area identified is protected appropriately. Eccleshall</w:t>
      </w:r>
    </w:p>
    <w:p w14:paraId="48F72AB3" w14:textId="1196FD8A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Conservation Area Appraisal 2014 (</w:t>
      </w:r>
      <w:proofErr w:type="spellStart"/>
      <w:r w:rsidRPr="00393626">
        <w:rPr>
          <w:rStyle w:val="s1"/>
          <w:sz w:val="22"/>
          <w:szCs w:val="22"/>
        </w:rPr>
        <w:t>Sta</w:t>
      </w:r>
      <w:proofErr w:type="spellEnd"/>
      <w:r w:rsidRPr="00393626">
        <w:rPr>
          <w:rStyle w:val="s1"/>
          <w:sz w:val="22"/>
          <w:szCs w:val="22"/>
        </w:rPr>
        <w:t>ﬀord Borough Council) was undertaken in order to define</w:t>
      </w:r>
      <w:r w:rsidR="00E6518F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the special character and appearance of Eccleshall and to identify any threats or future threats to</w:t>
      </w:r>
      <w:r w:rsidR="00E6518F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its character and integrity. The appraisal discusses the fact that the shoe making cottage industry</w:t>
      </w:r>
      <w:r w:rsidR="00E6518F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and associated trades developed around Kerry Lane. It also mentions that Kerry Lane possesses</w:t>
      </w:r>
      <w:r w:rsidR="00CD681A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the character of a village, with smaller scale buildings. There is a certain threat to Kerry Lane</w:t>
      </w:r>
      <w:r w:rsidR="00CD681A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retaining “it’s special character and integrity” with the certainty of increased traﬃc using this</w:t>
      </w:r>
      <w:r w:rsidR="00CD681A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“narrow lane” as referenced in the appraisal. A modern housing estate will clearly detract from this</w:t>
      </w:r>
      <w:r w:rsidR="00CD681A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nationally important amenity.</w:t>
      </w:r>
    </w:p>
    <w:p w14:paraId="4D2DEABF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LANDSCAPE SENSITIVITY STUDY</w:t>
      </w:r>
    </w:p>
    <w:p w14:paraId="4C215EA5" w14:textId="7D10B115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Only 7 out of 140 have been assessed as sites of High sensitivity. In 2021 SBC commissioned</w:t>
      </w:r>
      <w:r w:rsidR="00277E00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 xml:space="preserve">AOC Archeology Group to undertake an Historic Environment Site Assessment (HESA) </w:t>
      </w:r>
      <w:r w:rsidR="00277E00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to form a key piece of the evidence base used to ensure that the impact on the historic</w:t>
      </w:r>
      <w:r w:rsidR="00277E00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environment has been properly considered in the site selection process.</w:t>
      </w:r>
    </w:p>
    <w:p w14:paraId="1744736F" w14:textId="65DACEF5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It states that for those recorded as HIGH - “significant eﬀ</w:t>
      </w:r>
      <w:proofErr w:type="spellStart"/>
      <w:r w:rsidRPr="00393626">
        <w:rPr>
          <w:rStyle w:val="s1"/>
          <w:sz w:val="22"/>
          <w:szCs w:val="22"/>
        </w:rPr>
        <w:t>ects</w:t>
      </w:r>
      <w:proofErr w:type="spellEnd"/>
      <w:r w:rsidRPr="00393626">
        <w:rPr>
          <w:rStyle w:val="s1"/>
          <w:sz w:val="22"/>
          <w:szCs w:val="22"/>
        </w:rPr>
        <w:t xml:space="preserve"> predicted. Mitigation unlikely to be</w:t>
      </w:r>
      <w:r w:rsidR="00677DEC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possible”.</w:t>
      </w:r>
    </w:p>
    <w:p w14:paraId="380D20D9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The NPPF (2019). Chapter 16 is concerned with “conserving and enhancing the historic</w:t>
      </w:r>
    </w:p>
    <w:p w14:paraId="6AB1EF29" w14:textId="35A3E87D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environment”. It identifies heritage asse</w:t>
      </w:r>
      <w:r w:rsidR="00FD14F5">
        <w:rPr>
          <w:rStyle w:val="s1"/>
          <w:sz w:val="22"/>
          <w:szCs w:val="22"/>
        </w:rPr>
        <w:t>ts</w:t>
      </w:r>
      <w:r w:rsidRPr="00393626">
        <w:rPr>
          <w:rStyle w:val="s1"/>
          <w:sz w:val="22"/>
          <w:szCs w:val="22"/>
        </w:rPr>
        <w:t xml:space="preserve"> as an irreplaceable resource and notes that they</w:t>
      </w:r>
    </w:p>
    <w:p w14:paraId="4730D8ED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should be conserved in a manner appropriate to their significance.</w:t>
      </w:r>
    </w:p>
    <w:p w14:paraId="35E77840" w14:textId="5190A22A" w:rsidR="00431D2D" w:rsidRPr="00E71448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The boundary of Eccleshall Conservation Area extends across the northern half of the site, whilst</w:t>
      </w:r>
      <w:r w:rsidR="00D745AE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a range of listed buildings, including Grade 1 listed Holy Trinity Church, lie within 105m of the site</w:t>
      </w:r>
      <w:r w:rsidR="00D745AE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boundary. There is particular mention of the</w:t>
      </w:r>
      <w:r w:rsidR="00307BC8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 xml:space="preserve">Grade </w:t>
      </w:r>
      <w:proofErr w:type="spellStart"/>
      <w:r w:rsidRPr="00393626">
        <w:rPr>
          <w:rStyle w:val="s1"/>
          <w:sz w:val="22"/>
          <w:szCs w:val="22"/>
        </w:rPr>
        <w:t>ll</w:t>
      </w:r>
      <w:proofErr w:type="spellEnd"/>
      <w:r w:rsidRPr="00393626">
        <w:rPr>
          <w:rStyle w:val="s1"/>
          <w:sz w:val="22"/>
          <w:szCs w:val="22"/>
        </w:rPr>
        <w:t xml:space="preserve"> listed Thatched Cottage which stands 34m north of the southwestern site boundary and</w:t>
      </w:r>
      <w:r w:rsidR="00E71448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 xml:space="preserve">states that care would need to be taken to protect its setting.  </w:t>
      </w:r>
    </w:p>
    <w:p w14:paraId="36FB0B43" w14:textId="0BFD0B1E" w:rsidR="00ED7CA6" w:rsidRPr="0032692B" w:rsidRDefault="00ED7CA6">
      <w:pPr>
        <w:rPr>
          <w:rFonts w:ascii="UICTFontTextStyleTallBody" w:eastAsia="Times New Roman" w:hAnsi="UICTFontTextStyleTallBody"/>
          <w:color w:val="000000"/>
          <w:sz w:val="29"/>
          <w:szCs w:val="29"/>
        </w:rPr>
      </w:pPr>
    </w:p>
    <w:sectPr w:rsidR="00ED7CA6" w:rsidRPr="0032692B" w:rsidSect="00D02D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2D5DCC" w14:textId="77777777" w:rsidR="00543F23" w:rsidRDefault="00543F23" w:rsidP="0032692B">
      <w:pPr>
        <w:spacing w:after="0" w:line="240" w:lineRule="auto"/>
      </w:pPr>
      <w:r>
        <w:separator/>
      </w:r>
    </w:p>
  </w:endnote>
  <w:endnote w:type="continuationSeparator" w:id="0">
    <w:p w14:paraId="64DAA085" w14:textId="77777777" w:rsidR="00543F23" w:rsidRDefault="00543F23" w:rsidP="00326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UICTFontTextStyleTallBody">
    <w:altName w:val="Cambria"/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7692A7" w14:textId="77777777" w:rsidR="00543F23" w:rsidRDefault="00543F23" w:rsidP="0032692B">
      <w:pPr>
        <w:spacing w:after="0" w:line="240" w:lineRule="auto"/>
      </w:pPr>
      <w:r>
        <w:separator/>
      </w:r>
    </w:p>
  </w:footnote>
  <w:footnote w:type="continuationSeparator" w:id="0">
    <w:p w14:paraId="4D523D5E" w14:textId="77777777" w:rsidR="00543F23" w:rsidRDefault="00543F23" w:rsidP="003269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CA6"/>
    <w:rsid w:val="00073CF1"/>
    <w:rsid w:val="00193082"/>
    <w:rsid w:val="0021310B"/>
    <w:rsid w:val="0021797B"/>
    <w:rsid w:val="00245E61"/>
    <w:rsid w:val="00277E00"/>
    <w:rsid w:val="00307BC8"/>
    <w:rsid w:val="0032692B"/>
    <w:rsid w:val="00393626"/>
    <w:rsid w:val="003A430A"/>
    <w:rsid w:val="003D57C8"/>
    <w:rsid w:val="003D7CA0"/>
    <w:rsid w:val="00431D2D"/>
    <w:rsid w:val="004606ED"/>
    <w:rsid w:val="00523024"/>
    <w:rsid w:val="00543F23"/>
    <w:rsid w:val="005C4E6F"/>
    <w:rsid w:val="006176C8"/>
    <w:rsid w:val="00677DEC"/>
    <w:rsid w:val="007A5C82"/>
    <w:rsid w:val="008B263C"/>
    <w:rsid w:val="009A2997"/>
    <w:rsid w:val="00CB3E9A"/>
    <w:rsid w:val="00CD681A"/>
    <w:rsid w:val="00D02D04"/>
    <w:rsid w:val="00D66CAE"/>
    <w:rsid w:val="00D745AE"/>
    <w:rsid w:val="00E6518F"/>
    <w:rsid w:val="00E71448"/>
    <w:rsid w:val="00EB5238"/>
    <w:rsid w:val="00ED7CA6"/>
    <w:rsid w:val="00EF3C8F"/>
    <w:rsid w:val="00EF64BF"/>
    <w:rsid w:val="00FD14F5"/>
    <w:rsid w:val="00FF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6BAC84"/>
  <w15:chartTrackingRefBased/>
  <w15:docId w15:val="{31C027F0-8129-F146-BE0D-4EBB585C6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7C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7C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C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7C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7C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7C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7C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7C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7C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7C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7C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C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7C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7C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7C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7C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7C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7C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7C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7C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7C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7C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7C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7C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7C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7C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7C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7C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7CA6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ED7CA6"/>
  </w:style>
  <w:style w:type="paragraph" w:styleId="EndnoteText">
    <w:name w:val="endnote text"/>
    <w:basedOn w:val="Normal"/>
    <w:link w:val="EndnoteTextChar"/>
    <w:uiPriority w:val="99"/>
    <w:semiHidden/>
    <w:unhideWhenUsed/>
    <w:rsid w:val="0032692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2692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2692B"/>
    <w:rPr>
      <w:vertAlign w:val="superscript"/>
    </w:rPr>
  </w:style>
  <w:style w:type="paragraph" w:customStyle="1" w:styleId="p1">
    <w:name w:val="p1"/>
    <w:basedOn w:val="Normal"/>
    <w:rsid w:val="00431D2D"/>
    <w:pPr>
      <w:spacing w:after="0" w:line="240" w:lineRule="auto"/>
    </w:pPr>
    <w:rPr>
      <w:rFonts w:ascii="Helvetica Neue" w:hAnsi="Helvetica Neue" w:cs="Times New Roman"/>
      <w:color w:val="000000"/>
      <w:kern w:val="0"/>
      <w:sz w:val="17"/>
      <w:szCs w:val="17"/>
      <w14:ligatures w14:val="none"/>
    </w:rPr>
  </w:style>
  <w:style w:type="character" w:customStyle="1" w:styleId="s1">
    <w:name w:val="s1"/>
    <w:basedOn w:val="DefaultParagraphFont"/>
    <w:rsid w:val="00431D2D"/>
    <w:rPr>
      <w:rFonts w:ascii="Helvetica Neue" w:hAnsi="Helvetica Neue" w:hint="default"/>
      <w:b w:val="0"/>
      <w:bCs w:val="0"/>
      <w:i w:val="0"/>
      <w:iCs w:val="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385</Words>
  <Characters>2196</Characters>
  <Application>Microsoft Office Word</Application>
  <DocSecurity>0</DocSecurity>
  <Lines>18</Lines>
  <Paragraphs>5</Paragraphs>
  <ScaleCrop>false</ScaleCrop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Wilkins</dc:creator>
  <cp:keywords/>
  <dc:description/>
  <cp:lastModifiedBy>Chris Wilkins</cp:lastModifiedBy>
  <cp:revision>3</cp:revision>
  <dcterms:created xsi:type="dcterms:W3CDTF">2025-09-10T19:48:00Z</dcterms:created>
  <dcterms:modified xsi:type="dcterms:W3CDTF">2025-09-10T20:08:00Z</dcterms:modified>
</cp:coreProperties>
</file>